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FD" w:rsidRPr="00A01E62" w:rsidRDefault="001F61FD" w:rsidP="001F61FD">
      <w:pPr>
        <w:pStyle w:val="Heading1"/>
      </w:pPr>
      <w:hyperlink r:id="rId5" w:history="1">
        <w:r w:rsidRPr="006D6107">
          <w:rPr>
            <w:rStyle w:val="Hyperlink"/>
          </w:rPr>
          <w:t>https://www.energia.ru/ru/news/news-2013/news_04-08_2.html</w:t>
        </w:r>
      </w:hyperlink>
    </w:p>
    <w:p w:rsidR="001F61FD" w:rsidRDefault="001F61FD" w:rsidP="001F61FD">
      <w:pPr>
        <w:pStyle w:val="Heading1"/>
      </w:pPr>
      <w:r>
        <w:t>Новости</w:t>
      </w:r>
    </w:p>
    <w:p w:rsidR="001F61FD" w:rsidRDefault="001F61FD" w:rsidP="001F61FD">
      <w:pPr>
        <w:pStyle w:val="Heading4"/>
      </w:pPr>
      <w:r>
        <w:t>ОАО "РКК "Энергия"</w:t>
      </w:r>
    </w:p>
    <w:p w:rsidR="001F61FD" w:rsidRDefault="001F61FD" w:rsidP="001F61FD">
      <w:pPr>
        <w:pStyle w:val="Heading4"/>
      </w:pPr>
      <w:r>
        <w:t>Изменение №4 к проектной декларации от 29 июня 2012г</w:t>
      </w:r>
      <w:r>
        <w:br/>
        <w:t>строительства многоэтажного жилого дома №3(строительный) и двухъярусного подземного гаража-стоянки на 370 машиноместа в жилом микрорайоне 2-ой очереди строительства по адресу: Московская область, г. Королев, ул. Пионерская, дом 30.</w:t>
      </w:r>
    </w:p>
    <w:p w:rsidR="001F61FD" w:rsidRDefault="001F61FD" w:rsidP="001F61FD">
      <w:pPr>
        <w:pStyle w:val="NormalWeb"/>
      </w:pPr>
      <w:r>
        <w:t>г. Королев Московской обл.</w:t>
      </w:r>
      <w:r>
        <w:br/>
        <w:t>04 апреля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1F61FD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1F61FD" w:rsidTr="0047086F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1F61FD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 </w:t>
            </w:r>
          </w:p>
        </w:tc>
      </w:tr>
      <w:tr w:rsidR="001F61FD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1F61FD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F61FD" w:rsidRDefault="001F61FD" w:rsidP="0047086F">
            <w:pPr>
              <w:rPr>
                <w:sz w:val="24"/>
                <w:szCs w:val="24"/>
              </w:rPr>
            </w:pPr>
            <w:r>
              <w:t>1. Прибыль на 31.12.2012г. - 758 891 тыс. рублей.</w:t>
            </w:r>
            <w:r>
              <w:br/>
              <w:t>2. Дебиторская задолженность на 31.12.2012г. - 19 961 370 тыс. рублей.</w:t>
            </w:r>
            <w:r>
              <w:br/>
              <w:t>3. Кредиторская задолженность на 31.12.2012г. - 41 280 427 тыс. рублей.</w:t>
            </w:r>
          </w:p>
        </w:tc>
      </w:tr>
    </w:tbl>
    <w:p w:rsidR="001F61FD" w:rsidRDefault="001F61FD" w:rsidP="001F61FD">
      <w:pPr>
        <w:pStyle w:val="NormalWeb"/>
        <w:jc w:val="center"/>
      </w:pPr>
      <w:r>
        <w:rPr>
          <w:noProof/>
        </w:rPr>
        <w:drawing>
          <wp:inline distT="0" distB="0" distL="0" distR="0" wp14:anchorId="584D4970" wp14:editId="28072A3A">
            <wp:extent cx="5635625" cy="476885"/>
            <wp:effectExtent l="0" t="0" r="3175" b="0"/>
            <wp:docPr id="6" name="Picture 6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1FD" w:rsidRDefault="001F61FD" w:rsidP="001F61FD"/>
    <w:p w:rsidR="00A472EE" w:rsidRDefault="00A472EE">
      <w:bookmarkStart w:id="0" w:name="_GoBack"/>
      <w:bookmarkEnd w:id="0"/>
    </w:p>
    <w:sectPr w:rsidR="00A4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08"/>
    <w:rsid w:val="001F61FD"/>
    <w:rsid w:val="00A472EE"/>
    <w:rsid w:val="00CA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1FD"/>
  </w:style>
  <w:style w:type="paragraph" w:styleId="Heading1">
    <w:name w:val="heading 1"/>
    <w:basedOn w:val="Normal"/>
    <w:next w:val="Normal"/>
    <w:link w:val="Heading1Char"/>
    <w:uiPriority w:val="9"/>
    <w:qFormat/>
    <w:rsid w:val="001F61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F61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1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F61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F6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F6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1FD"/>
  </w:style>
  <w:style w:type="paragraph" w:styleId="Heading1">
    <w:name w:val="heading 1"/>
    <w:basedOn w:val="Normal"/>
    <w:next w:val="Normal"/>
    <w:link w:val="Heading1Char"/>
    <w:uiPriority w:val="9"/>
    <w:qFormat/>
    <w:rsid w:val="001F61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F61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1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F61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F6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F6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04-08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Company>WWL Corp.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2018-03-26T12:16:00Z</dcterms:created>
  <dcterms:modified xsi:type="dcterms:W3CDTF">2018-03-26T12:16:00Z</dcterms:modified>
</cp:coreProperties>
</file>